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69767f762e2449c4"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18</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BUCEGI - LEAOTA</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ÎNCURAJAREA INVESTIȚIILOR PENTRU REÎNNOIREA SATELOR</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Solicitantul trebuie să se încadreze în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Documente obligatorii:</w:t>
            </w:r>
            <w:r>
              <w:rPr>
                <w:rFonts w:ascii="Cambria" w:hAnsi="Cambria"/>
                <w:b w:val="false"/>
                <w:sz w:val="24"/>
              </w:rPr>
              <w:t>- Cerere de finanțare;- Documente care atestă forma de organizare a solicitantului;</w:t>
            </w:r>
            <w:r>
              <w:rPr>
                <w:rFonts w:ascii="Cambria Bold" w:hAnsi="Cambria Bold"/>
                <w:b/>
                <w:sz w:val="24"/>
              </w:rPr>
              <w:t>Metodologia de verificare:  </w:t>
            </w:r>
            <w:r>
              <w:rPr>
                <w:rFonts w:ascii="Cambria" w:hAnsi="Cambria"/>
                <w:b w:val="false"/>
                <w:sz w:val="24"/>
              </w:rPr>
              <w:t>Se verifică dacă solicitantul se încadrează încategoriile de beneficiari eligibili, respectiv: Autoritățile Publice Locale;Asociaţii de dezvoltare intercomunitară; Grup de Acțiune Locală; Asociații și fundații.Se verifică în Cererea de finanțare, secțiunea A4 Denumire solicitant șisecțiunea A9.3 Tip beneficiar , precum și în documentele constitutiveanexate dosarului de finanțare.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Solicitantul nu trebuie să fie în insolvență sau în incapacitate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Documente obligatorii:</w:t>
            </w:r>
            <w:r>
              <w:rPr>
                <w:rFonts w:ascii="Cambria" w:hAnsi="Cambria"/>
                <w:b w:val="false"/>
                <w:sz w:val="24"/>
              </w:rPr>
              <w:t>- Cerere de finanțare</w:t>
            </w:r>
            <w:r>
              <w:rPr>
                <w:rFonts w:ascii="Cambria Bold" w:hAnsi="Cambria Bold"/>
                <w:b/>
                <w:sz w:val="24"/>
              </w:rPr>
              <w:t>Metodologia de verificare:  </w:t>
            </w:r>
            <w:r>
              <w:rPr>
                <w:rFonts w:ascii="Cambria" w:hAnsi="Cambria"/>
                <w:b w:val="false"/>
                <w:sz w:val="24"/>
              </w:rPr>
              <w:t>Se verifică dacă solicitantul și-a asumat prinDeclaraţia pe proprie răspundere din secțiunea F a Cererii de finanțarefaptul că nu este în inolvență.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Investiția să se încadreze în tipul de sprijin prevăzut prin intervenție;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Documente obligatorii:</w:t>
            </w:r>
            <w:r>
              <w:rPr>
                <w:rFonts w:ascii="Cambria" w:hAnsi="Cambria"/>
                <w:b w:val="false"/>
                <w:sz w:val="24"/>
              </w:rPr>
              <w:t>- Cerere de finanțare;- Documentaţie tehnică proiect: SF/DALI/MJ;</w:t>
            </w:r>
            <w:r>
              <w:rPr>
                <w:rFonts w:ascii="Cambria Bold" w:hAnsi="Cambria Bold"/>
                <w:b/>
                <w:sz w:val="24"/>
              </w:rPr>
              <w:t>Metodologia de verificare:</w:t>
            </w:r>
            <w:r>
              <w:rPr>
                <w:rFonts w:ascii="Cambria" w:hAnsi="Cambria"/>
                <w:b w:val="false"/>
                <w:sz w:val="24"/>
              </w:rPr>
              <w:t>  Se verifică în baza informaţiilor dinCF/SF/DALI/MJ, dacă investiția se încadrează în cel puțin unul dintipurile de sprijin menționate în cadrul secțiunii Tipuri de investiții / servicii şi cheltuieli eligibile.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Investiția trebuie să demonstreze necesitatea, oportunitatea și potențialul economic al acesteia;</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Documente obligatorii:</w:t>
            </w:r>
            <w:r>
              <w:rPr>
                <w:rFonts w:ascii="Cambria" w:hAnsi="Cambria"/>
                <w:b w:val="false"/>
                <w:sz w:val="24"/>
              </w:rPr>
              <w:t>  - Cererea de Finanțare;- Documentaţie tehnică proiect: SF/DALI/MJ;</w:t>
            </w:r>
            <w:r>
              <w:rPr>
                <w:rFonts w:ascii="Cambria Bold" w:hAnsi="Cambria Bold"/>
                <w:b/>
                <w:sz w:val="24"/>
              </w:rPr>
              <w:t>Metodologia de verificare:</w:t>
            </w:r>
            <w:r>
              <w:rPr>
                <w:rFonts w:ascii="Cambria" w:hAnsi="Cambria"/>
                <w:b w:val="false"/>
                <w:sz w:val="24"/>
              </w:rPr>
              <w:t>  Angajatul GAL (expertul cooptat după caz) verifică în baza informaţiilor din documentele de mai sus, dacă solicitantul demonstrează, oportunitatea și necesitatea proiectului pentru atingerea obiectivelor și indicatorilor de rezultat prevăzuti în SDL, respectiv, ponderea (numărul) populației care beneficiază de acces îmbunătățiti la servicii și infrastructură.Condițiile în care se consideră îndeplinit criteriul: Dacă verificareadocumentelor confirmă faptul că solicitantul demonstrează,oportunitatea si necesitatea proiectului pentru atingerea obiectivelor siindicatorilor de rezultat prevăzuti în SDL, respectiv, se precizeazăponderea (numărul) populației care beneficiază de acces îmbunătățit laservicii și infrastructură se va bifa caseta “DA” pentru verificare. În cazcontrar, angajatul GAL (expertul cooptat după caz) bifează casuţa dincoloana ”NU” şi motivează poziţia în rubrica „Observaţii”, criteriul deeligibilitate nefiind îndeplinit.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Investiția să se realizeze în teritoriul GAL;</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Documente obligatorii:</w:t>
            </w:r>
            <w:r>
              <w:rPr>
                <w:rFonts w:ascii="Cambria" w:hAnsi="Cambria"/>
                <w:b w:val="false"/>
                <w:sz w:val="24"/>
              </w:rPr>
              <w:t>- Cerere de finanțare;- Documentaţie tehnică proiect: SF/DALI/MJ;- Documente pentru terenurile și/sau clădirile aferente realizăriiinvestiției.</w:t>
            </w:r>
            <w:r>
              <w:rPr>
                <w:rFonts w:ascii="Cambria Bold" w:hAnsi="Cambria Bold"/>
                <w:b/>
                <w:sz w:val="24"/>
              </w:rPr>
              <w:t>Metodologia de verificare:</w:t>
            </w:r>
            <w:r>
              <w:rPr>
                <w:rFonts w:ascii="Cambria" w:hAnsi="Cambria"/>
                <w:b w:val="false"/>
                <w:sz w:val="24"/>
              </w:rPr>
              <w:t>  În cazul beneficiarilor UAT: Terenul pe care se amplasează proiectul trebuie să fie înregistrat în domeniul public. În  </w:t>
            </w:r>
            <w:r>
              <w:rPr>
                <w:rFonts w:ascii="Cambria" w:hAnsi="Cambria"/>
                <w:b w:val="false"/>
                <w:sz w:val="24"/>
              </w:rPr>
              <w:t>situaţia în care în inventarul publicat în Monitorul Oficial al României  </w:t>
            </w:r>
            <w:r>
              <w:rPr>
                <w:rFonts w:ascii="Cambria" w:hAnsi="Cambria"/>
                <w:b w:val="false"/>
                <w:sz w:val="24"/>
              </w:rPr>
              <w:t>terenurile care fac obiectul proiectului nu sunt incluse în domeniul  </w:t>
            </w:r>
            <w:r>
              <w:rPr>
                <w:rFonts w:ascii="Cambria" w:hAnsi="Cambria"/>
                <w:b w:val="false"/>
                <w:sz w:val="24"/>
              </w:rPr>
              <w:t>public, sunt incluse într-o poziţie globală sau nu sunt clasificate, expertul  </w:t>
            </w:r>
            <w:r>
              <w:rPr>
                <w:rFonts w:ascii="Cambria" w:hAnsi="Cambria"/>
                <w:b w:val="false"/>
                <w:sz w:val="24"/>
              </w:rPr>
              <w:t>verifică legalitatea modificărilor/ completărilor efectuate şi dacă prin  </w:t>
            </w:r>
            <w:r>
              <w:rPr>
                <w:rFonts w:ascii="Cambria" w:hAnsi="Cambria"/>
                <w:b w:val="false"/>
                <w:sz w:val="24"/>
              </w:rPr>
              <w:t>acestea se dovedeşte că terenul sau drumurile care fac obiectul  </w:t>
            </w:r>
            <w:r>
              <w:rPr>
                <w:rFonts w:ascii="Cambria" w:hAnsi="Cambria"/>
                <w:b w:val="false"/>
                <w:sz w:val="24"/>
              </w:rPr>
              <w:t>proiectului aparţin domeniului public.</w:t>
            </w:r>
            <w:r>
              <w:rPr>
                <w:rFonts w:ascii="Cambria" w:hAnsi="Cambria"/>
                <w:b w:val="false"/>
                <w:sz w:val="24"/>
              </w:rPr>
              <w:t>Dacă în inventarul bunurilor ce aparţin domeniului public al comunei,publicat în Monitorul oficial al României, terenurile care fac obiectulproiectului nu sunt incluse în domeniul public, sau sunt incluse într-opoziţie globală, expertul va ţine cont de Hotărârea Consiliului Localprivind aprobarea modificărilor şi/sau completărilor la inventar însensul includerii în domeniul public sau detalierii poziției globaleexistente.În cazul celorlalți beneficiari eligibili (Asociații de Dezvoltare Intercomunitară, Grup de Acțiune Locală, Asociaţii şi fundaţii)bunurile imobile care fac obiectul realizării investiţiei propuse trebuie să  </w:t>
            </w:r>
            <w:r>
              <w:rPr>
                <w:rFonts w:ascii="Cambria" w:hAnsi="Cambria"/>
                <w:b w:val="false"/>
                <w:sz w:val="24"/>
              </w:rPr>
              <w:t>fie situate în teritoriul GAL.</w:t>
            </w:r>
            <w:r>
              <w:rPr>
                <w:rFonts w:ascii="Cambria" w:hAnsi="Cambria"/>
                <w:b w:val="false"/>
                <w:sz w:val="24"/>
              </w:rPr>
              <w:t>Documente obligatorii:Extras de carte funciară din care să reiasă intabularea în domeniulpublic a dreptului de proprietate asupra imobilului pentru unitateaadministrativ teritorială pe care urmează a se realiza investiția) care face obiectul Cererii de finanțare pentru unitatea administrativ teritorială, sauInventarul bunurilor care aparțin domeniului public al UAT/UAT-urilor, atestat prin HG sau HCL.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Solicitantul se angajează să asigure întreținerea / mentenanța investiției pe o perioadă de minim 3 ani (5 ani pentru proiectele care prevăd Constructii+Montaj), de la finalizarea ultimei cereri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Bold" w:hAnsi="Cambria Bold"/>
                <w:b/>
                <w:sz w:val="24"/>
              </w:rPr>
              <w:t>Documente obligatorii:</w:t>
            </w:r>
            <w:r>
              <w:rPr>
                <w:rFonts w:ascii="Cambria" w:hAnsi="Cambria"/>
                <w:b w:val="false"/>
                <w:sz w:val="24"/>
              </w:rPr>
              <w:t>- Hotărârea Consiliului Local pentru implementarea proiectului;- Hotărârea Adunării Generale pentru implementarea proiectului specific fiecărei categorii de solicitanți.</w:t>
            </w:r>
            <w:r>
              <w:rPr>
                <w:rFonts w:ascii="Cambria Bold" w:hAnsi="Cambria Bold"/>
                <w:b/>
                <w:sz w:val="24"/>
              </w:rPr>
              <w:t>Metodologia de verificare:</w:t>
            </w:r>
            <w:r>
              <w:rPr>
                <w:rFonts w:ascii="Cambria" w:hAnsi="Cambria"/>
                <w:b w:val="false"/>
                <w:sz w:val="24"/>
              </w:rPr>
              <w:t>  Se verifică în Hotărârea pentru implementarea proiectului, angajamentul de a asigura întreținerea / mentenanța investiției pe o perioadă de minim 3 ani (5 ani pentru proiectele care prevăd Constructii+Montaj), de la finalizarea ultimei cereri de plată;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rPr>
              <w:t>Investiția trebuie să fie în corelare cu orice strategie de dezvoltare  națională / regională/ județeană / locală aprobată corespunzătoare domeniului de investiții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Expertul verifica e</w:t>
            </w:r>
            <w:r>
              <w:rPr>
                <w:rFonts w:ascii="Cambria" w:hAnsi="Cambria"/>
                <w:b w:val="false"/>
                <w:sz w:val="24"/>
              </w:rPr>
              <w:t>xtrasul din strategie care confirma ca investiția este în corelare cu orice strategie</w:t>
            </w:r>
            <w:r>
              <w:rPr>
                <w:rFonts w:ascii="Cambria" w:hAnsi="Cambria"/>
                <w:b w:val="false"/>
                <w:sz w:val="24"/>
              </w:rPr>
              <w:t>  </w:t>
            </w:r>
            <w:r>
              <w:rPr>
                <w:rFonts w:ascii="Cambria" w:hAnsi="Cambria"/>
                <w:b w:val="false"/>
                <w:sz w:val="24"/>
              </w:rPr>
              <w:t>de dezvoltare națională/ regională/</w:t>
            </w:r>
            <w:r>
              <w:rPr>
                <w:rFonts w:ascii="Cambria" w:hAnsi="Cambria"/>
                <w:b w:val="false"/>
                <w:sz w:val="24"/>
              </w:rPr>
              <w:t>  </w:t>
            </w:r>
            <w:r>
              <w:rPr>
                <w:rFonts w:ascii="Cambria" w:hAnsi="Cambria"/>
                <w:b w:val="false"/>
                <w:sz w:val="24"/>
              </w:rPr>
              <w:t>județeană/ locală, corespunzătoare domeniului de investiții.</w:t>
            </w:r>
            <w:r>
              <w:rPr>
                <w:rFonts w:ascii="Cambria" w:hAnsi="Cambria"/>
                <w:b w:val="false"/>
                <w:sz w:val="24"/>
              </w:rPr>
              <w:t> </w:t>
            </w:r>
          </w:p>
          <w:p>
            <w:r>
              <w:rPr>
                <w:rFonts w:ascii="Cambria" w:hAnsi="Cambria"/>
                <w:b w:val="false"/>
                <w:sz w:val="24"/>
              </w:rPr>
              <w:t>- Copia hotararii de aprobare a strategiei</w:t>
            </w:r>
          </w:p>
          <w:p>
            <w:pPr>
              <w:spacing w:line="360" w:lineRule="auto"/>
              <w:ind w:left="0" w:right="0" w:firstLine="493"/>
            </w:pPr>
            <w:r>
              <w:rPr>
                <w:rFonts w:ascii="Cambria" w:hAnsi="Cambria"/>
                <w:b w:val="false"/>
                <w:sz w:val="24"/>
              </w:rPr>
              <w:t>Dacă prezentul criteriu de eligibilitate locală este îndeplinit, expertul verificator va bifa ”DA” în fișa de verificare. În situația în care criteriul de eligibilitate locala curent nu este îndeplinit, expertul verificator va bifa ”NU” în fisa de verificare.</w:t>
            </w:r>
          </w:p>
          <w:p>
            <w:pPr>
              <w:spacing w:line="360" w:lineRule="auto"/>
              <w:ind w:left="0" w:right="0" w:firstLine="493"/>
            </w:pPr>
            <w:r>
              <w:rPr>
                <w:rFonts w:ascii="Cambria" w:hAnsi="Cambria"/>
                <w:b w:val="false"/>
                <w:sz w:val="24"/>
              </w:rPr>
              <w:t>Atunci când documentele și informațiile din proiect nu sunt suficiente pentru verificarea prezentului criteriu de eligibilitate locala, expertul verificator va solicita informații suplimentare. </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prioritizării investiţiilor care identifică soluţii inovatoare (de ex: eficienţa energetică şi promovarea energiei din surse regenerabile)</w:t>
            </w:r>
          </w:p>
        </w:tc>
        <w:tc>
          <w:tcPr>
            <w:shd w:val="clear" w:color="auto" w:fill="CCE1DB"/>
            <w:vAlign w:val="center"/>
          </w:tcPr>
          <w:p>
            <w:pPr>
              <w:spacing w:line="360" w:lineRule="auto"/>
              <w:ind w:left="0" w:right="0" w:firstLine="493"/>
            </w:pPr>
            <w:r>
              <w:rPr>
                <w:rFonts w:ascii="Cambria Bold" w:hAnsi="Cambria Bold"/>
                <w:b/>
                <w:color w:val="014935"/>
                <w:sz w:val="24"/>
              </w:rPr>
              <w:t>35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w:t>
            </w:r>
          </w:p>
        </w:tc>
        <w:tc>
          <w:tcPr>
            <w:shd w:val="clear" w:color="auto" w:fill="F8ECD2"/>
            <w:vAlign w:val="center"/>
          </w:tcPr>
          <w:p>
            <w:r>
              <w:rPr>
                <w:rFonts w:ascii="Cambria" w:hAnsi="Cambria"/>
                <w:b w:val="false"/>
                <w:color w:val="58400C"/>
                <w:sz w:val="24"/>
              </w:rPr>
              <w:t>Proiecte care prevăd investiții inovatoare</w:t>
            </w:r>
          </w:p>
        </w:tc>
        <w:tc>
          <w:tcPr>
            <w:vAlign w:val="center"/>
          </w:tcPr>
          <w:p>
            <w:pPr>
              <w:keepNext/>
              <w:jc w:val="center"/>
            </w:pPr>
            <w:r>
              <w:rPr>
                <w:rFonts w:ascii="Cambria" w:hAnsi="Cambria"/>
                <w:b w:val="false"/>
                <w:sz w:val="24"/>
              </w:rPr>
              <w:t>35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DOCUMENTE  PREZENTATE:</w:t>
            </w:r>
          </w:p>
          <w:p>
            <w:pPr>
              <w:spacing w:line="360" w:lineRule="auto"/>
              <w:ind w:left="0" w:right="0" w:firstLine="493"/>
            </w:pPr>
            <w:r>
              <w:rPr>
                <w:rFonts w:ascii="Cambria" w:hAnsi="Cambria"/>
                <w:b w:val="false"/>
                <w:sz w:val="24"/>
              </w:rPr>
              <w:t>Studiu de Fezabilitate / Documentație de Avizare pentru Lucrări de Intervenții/ Memoriu Justificativ</w:t>
            </w:r>
          </w:p>
          <w:p>
            <w:pPr>
              <w:spacing w:line="360" w:lineRule="auto"/>
              <w:ind w:left="0" w:right="0" w:firstLine="493"/>
            </w:pPr>
            <w:r>
              <w:rPr>
                <w:rFonts w:ascii="Cambria" w:hAnsi="Cambria"/>
                <w:b w:val="false"/>
                <w:sz w:val="24"/>
              </w:rPr>
              <w:t>PUNCTE DE VERIFICAT ÎN CADRUL DOCUMENTELOR  PREZENTATE:</w:t>
            </w:r>
          </w:p>
          <w:p>
            <w:pPr>
              <w:spacing w:line="360" w:lineRule="auto"/>
              <w:ind w:left="0" w:right="0" w:firstLine="493"/>
            </w:pPr>
            <w:r>
              <w:rPr>
                <w:rFonts w:ascii="Cambria" w:hAnsi="Cambria"/>
                <w:b w:val="false"/>
                <w:sz w:val="24"/>
              </w:rPr>
              <w:t>Expertul verifică informațiile conținute în Studiul de fezabilitate/DALI/MJ și în cazul ăn care identifica în cadrul acțiunilor propuse prin proiect activități cum ar fi dezvoltarea de idei, servicii, noi tehnologii sau noi activităţi, acţiuni pentru protecţia mediului inovatoare (ex: eficienta energetică şi promovarea energiei din surse regenerabile, investițiilor ce vizează eficientizarea/economisirea consumului de apă, prelucrarea deșeurilor, a reziduurilor precum şi reducerea emisiilor de gaze cu efect de seră) etc sau dacă se implementează un tip de proiect care nu a mai fost realizat in teritoriul respectiv, se vor acorda 35 puncte.</w:t>
            </w:r>
          </w:p>
          <w:p>
            <w:pPr>
              <w:spacing w:line="360" w:lineRule="auto"/>
              <w:ind w:left="0" w:right="0" w:firstLine="493"/>
            </w:pPr>
            <w:r>
              <w:rPr>
                <w:rFonts w:ascii="Cambria" w:hAnsi="Cambria"/>
                <w:b w:val="false"/>
                <w:sz w:val="24"/>
              </w:rPr>
              <w:t>În cazul unor investitii multiple, punctajul va fi acordat daca cel puțin una din investiții îndeplinește condițiile.</w:t>
            </w:r>
          </w:p>
          <w:p>
            <w:pPr>
              <w:spacing w:line="360" w:lineRule="auto"/>
              <w:ind w:left="0" w:right="0" w:firstLine="493"/>
            </w:pPr>
            <w:r>
              <w:rPr>
                <w:rFonts w:ascii="Cambria" w:hAnsi="Cambria"/>
                <w:b w:val="false"/>
                <w:sz w:val="24"/>
              </w:rPr>
              <w:t>În cadrul analizei documentelor vor fi luate in considerare:</w:t>
            </w:r>
          </w:p>
          <w:p>
            <w:pPr>
              <w:pStyle w:val="ListParagraph"/>
              <w:numPr>
                <w:ilvl w:val="0"/>
                <w:numId w:val="2"/>
              </w:numPr>
            </w:pPr>
            <w:r>
              <w:rPr>
                <w:rFonts w:ascii="Cambria" w:hAnsi="Cambria"/>
                <w:b w:val="false"/>
                <w:sz w:val="24"/>
              </w:rPr>
              <w:t>Activitățile din cadrul proiectului;</w:t>
            </w:r>
          </w:p>
          <w:p>
            <w:pPr>
              <w:pStyle w:val="ListParagraph"/>
              <w:numPr>
                <w:ilvl w:val="0"/>
                <w:numId w:val="2"/>
              </w:numPr>
            </w:pPr>
            <w:r>
              <w:rPr>
                <w:rFonts w:ascii="Cambria" w:hAnsi="Cambria"/>
                <w:b w:val="false"/>
                <w:sz w:val="24"/>
              </w:rPr>
              <w:t>Obiectivele din cadrul proiectului;</w:t>
            </w:r>
          </w:p>
          <w:p>
            <w:pPr>
              <w:pStyle w:val="ListParagraph"/>
              <w:numPr>
                <w:ilvl w:val="0"/>
                <w:numId w:val="2"/>
              </w:numPr>
            </w:pPr>
            <w:r>
              <w:rPr>
                <w:rFonts w:ascii="Cambria" w:hAnsi="Cambria"/>
                <w:b w:val="false"/>
                <w:sz w:val="24"/>
              </w:rPr>
              <w:t>Utilajele/echipamentele ahiziționate;</w:t>
            </w:r>
          </w:p>
          <w:p>
            <w:pPr>
              <w:pStyle w:val="ListParagraph"/>
              <w:numPr>
                <w:ilvl w:val="0"/>
                <w:numId w:val="2"/>
              </w:numPr>
            </w:pPr>
            <w:r>
              <w:rPr>
                <w:rFonts w:ascii="Cambria" w:hAnsi="Cambria"/>
                <w:b w:val="false"/>
                <w:sz w:val="24"/>
              </w:rPr>
              <w:t>Materialele utilizate;</w:t>
            </w:r>
          </w:p>
          <w:p>
            <w:pPr>
              <w:pStyle w:val="ListParagraph"/>
              <w:numPr>
                <w:ilvl w:val="0"/>
                <w:numId w:val="2"/>
              </w:numPr>
            </w:pPr>
            <w:r>
              <w:rPr>
                <w:rFonts w:ascii="Cambria" w:hAnsi="Cambria"/>
                <w:b w:val="false"/>
                <w:sz w:val="24"/>
              </w:rPr>
              <w:t>Cheltuielile efectuate.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Principiul prioritizării investiţiilor în funcţie de populaţia netă care beneficiază de servicii / infrastructuri îmbunătăţite;</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2.1</w:t>
            </w:r>
          </w:p>
        </w:tc>
        <w:tc>
          <w:tcPr>
            <w:shd w:val="clear" w:color="auto" w:fill="F8ECD2"/>
            <w:vAlign w:val="center"/>
          </w:tcPr>
          <w:p>
            <w:r>
              <w:rPr>
                <w:rFonts w:ascii="Cambria" w:hAnsi="Cambria"/>
                <w:b w:val="false"/>
                <w:color w:val="58400C"/>
                <w:sz w:val="24"/>
              </w:rPr>
              <w:t>Proiecte care deservesc localități cu o populație de până la 3.000 locuitori;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DOCUMENTE PREZENTATE:</w:t>
            </w:r>
          </w:p>
          <w:p>
            <w:pPr>
              <w:spacing w:line="360" w:lineRule="auto"/>
              <w:ind w:left="0" w:right="0" w:firstLine="493"/>
            </w:pPr>
            <w:r>
              <w:rPr>
                <w:rFonts w:ascii="Cambria" w:hAnsi="Cambria"/>
                <w:b w:val="false"/>
                <w:sz w:val="24"/>
              </w:rPr>
              <w:t>Studiul de Fezabilitate/ Documentaţia de Avizare pentru Lucrări de Intervenţii/MJ</w:t>
            </w:r>
          </w:p>
          <w:p>
            <w:pPr>
              <w:spacing w:line="360" w:lineRule="auto"/>
              <w:ind w:left="0" w:right="0" w:firstLine="493"/>
            </w:pPr>
            <w:r>
              <w:rPr>
                <w:rFonts w:ascii="Cambria" w:hAnsi="Cambria"/>
                <w:b w:val="false"/>
                <w:sz w:val="24"/>
              </w:rPr>
              <w:t>PUNCTE DE VERIFICAT ÎN CADRUL DOCUMENTELOR  PREZENTATE:</w:t>
            </w:r>
          </w:p>
          <w:p>
            <w:pPr>
              <w:spacing w:line="360" w:lineRule="auto"/>
              <w:ind w:left="0" w:right="0" w:firstLine="493"/>
            </w:pPr>
            <w:r>
              <w:rPr>
                <w:rFonts w:ascii="Cambria" w:hAnsi="Cambria"/>
                <w:b w:val="false"/>
                <w:sz w:val="24"/>
              </w:rPr>
              <w:t>Expertul verifică informațiile conținute în Anexa - COMPONENȚA TERITORIALĂ din SDL a GAL BUCEGI - LEAOTA iar în funcție de numărul total de locuitori, expertul acordă punctajul.</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2.2</w:t>
            </w:r>
          </w:p>
        </w:tc>
        <w:tc>
          <w:tcPr>
            <w:shd w:val="clear" w:color="auto" w:fill="F8ECD2"/>
            <w:vAlign w:val="center"/>
          </w:tcPr>
          <w:p>
            <w:r>
              <w:rPr>
                <w:rFonts w:ascii="Cambria" w:hAnsi="Cambria"/>
                <w:b w:val="false"/>
                <w:color w:val="58400C"/>
                <w:sz w:val="24"/>
              </w:rPr>
              <w:t>Proiecte care deservesc localități cu o populație cuprinsă între 3.001 și 6.000 locuitori;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DOCUMENTE PREZENTATE:</w:t>
            </w:r>
          </w:p>
          <w:p>
            <w:pPr>
              <w:spacing w:line="360" w:lineRule="auto"/>
              <w:ind w:left="0" w:right="0" w:firstLine="493"/>
            </w:pPr>
            <w:r>
              <w:rPr>
                <w:rFonts w:ascii="Cambria" w:hAnsi="Cambria"/>
                <w:b w:val="false"/>
                <w:sz w:val="24"/>
              </w:rPr>
              <w:t>Studiul de Fezabilitate/ Documentaţia de Avizare pentru Lucrări de Intervenţii/MJ</w:t>
            </w:r>
          </w:p>
          <w:p>
            <w:pPr>
              <w:spacing w:line="360" w:lineRule="auto"/>
              <w:ind w:left="0" w:right="0" w:firstLine="493"/>
            </w:pPr>
            <w:r>
              <w:rPr>
                <w:rFonts w:ascii="Cambria" w:hAnsi="Cambria"/>
                <w:b w:val="false"/>
                <w:sz w:val="24"/>
              </w:rPr>
              <w:t>PUNCTE DE VERIFICAT ÎN CADRUL DOCUMENTELOR  PREZENTATE:</w:t>
            </w:r>
          </w:p>
          <w:p>
            <w:pPr>
              <w:spacing w:line="360" w:lineRule="auto"/>
              <w:ind w:left="0" w:right="0" w:firstLine="493"/>
            </w:pPr>
            <w:r>
              <w:rPr>
                <w:rFonts w:ascii="Cambria" w:hAnsi="Cambria"/>
                <w:b w:val="false"/>
                <w:sz w:val="24"/>
              </w:rPr>
              <w:t>Expertul verifică informațiile conținute în Anexa - COMPONENȚA TERITORIALĂ din SDL a GAL BUCEGI - LEAOTA iar în funcție de numărul total de locuitori, expertul acordă punctajul.</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2.3</w:t>
            </w:r>
          </w:p>
        </w:tc>
        <w:tc>
          <w:tcPr>
            <w:shd w:val="clear" w:color="auto" w:fill="F8ECD2"/>
            <w:vAlign w:val="center"/>
          </w:tcPr>
          <w:p>
            <w:r>
              <w:rPr>
                <w:rFonts w:ascii="Cambria" w:hAnsi="Cambria"/>
                <w:b w:val="false"/>
                <w:color w:val="58400C"/>
                <w:sz w:val="24"/>
              </w:rPr>
              <w:t>Proiecte care deservesc localități cu o populație mai mare de 6.000 locuitori;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DOCUMENTE PREZENTATE:</w:t>
            </w:r>
          </w:p>
          <w:p>
            <w:pPr>
              <w:spacing w:line="360" w:lineRule="auto"/>
              <w:ind w:left="0" w:right="0" w:firstLine="493"/>
            </w:pPr>
            <w:r>
              <w:rPr>
                <w:rFonts w:ascii="Cambria" w:hAnsi="Cambria"/>
                <w:b w:val="false"/>
                <w:sz w:val="24"/>
              </w:rPr>
              <w:t>Studiul de Fezabilitate/ Documentaţia de Avizare pentru Lucrări de Intervenţii/MJ</w:t>
            </w:r>
          </w:p>
          <w:p>
            <w:pPr>
              <w:spacing w:line="360" w:lineRule="auto"/>
              <w:ind w:left="0" w:right="0" w:firstLine="493"/>
            </w:pPr>
            <w:r>
              <w:rPr>
                <w:rFonts w:ascii="Cambria" w:hAnsi="Cambria"/>
                <w:b w:val="false"/>
                <w:sz w:val="24"/>
              </w:rPr>
              <w:t>PUNCTE DE VERIFICAT ÎN CADRUL DOCUMENTELOR  PREZENTATE:</w:t>
            </w:r>
          </w:p>
          <w:p>
            <w:pPr>
              <w:spacing w:line="360" w:lineRule="auto"/>
              <w:ind w:left="0" w:right="0" w:firstLine="493"/>
            </w:pPr>
            <w:r>
              <w:rPr>
                <w:rFonts w:ascii="Cambria" w:hAnsi="Cambria"/>
                <w:b w:val="false"/>
                <w:sz w:val="24"/>
              </w:rPr>
              <w:t>Expertul verifică informațiile conținute în Anexa - COMPONENȚA TERITORIALĂ din SDL a GAL BUCEGI - LEAOTA iar în funcție de numărul total de locuitori, expertul acordă punctajul.</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Proiecte care își propun să realizeze servicii inovatoare pentru teritoriu;</w:t>
            </w:r>
          </w:p>
        </w:tc>
        <w:tc>
          <w:tcPr>
            <w:shd w:val="clear" w:color="auto" w:fill="CCE1DB"/>
            <w:vAlign w:val="center"/>
          </w:tcPr>
          <w:p>
            <w:pPr>
              <w:spacing w:line="360" w:lineRule="auto"/>
              <w:ind w:left="0" w:right="0" w:firstLine="493"/>
            </w:pPr>
            <w:r>
              <w:rPr>
                <w:rFonts w:ascii="Cambria Bold" w:hAnsi="Cambria Bold"/>
                <w:b/>
                <w:color w:val="014935"/>
                <w:sz w:val="24"/>
              </w:rPr>
              <w:t>35</w:t>
            </w:r>
          </w:p>
        </w:tc>
        <w:tc>
          <w:tcPr>
            <w:shd w:val="clear" w:color="auto" w:fill="CCE1DB"/>
            <w:vAlign w:val="center"/>
          </w:tcPr>
          <w:p/>
        </w:tc>
        <w:tc>
          <w:tcPr>
            <w:shd w:val="clear" w:color="auto" w:fill="CCE1DB"/>
            <w:vAlign w:val="center"/>
          </w:tcPr>
          <w:p/>
        </w:tc>
      </w:tr>
      <w:tr>
        <w:trPr/>
        <w:tc>
          <w:tcPr>
            <w:shd w:val="clear" w:color="auto" w:fill="F8ECD2"/>
            <w:vAlign w:val="center"/>
          </w:tcPr>
          <w:p/>
        </w:tc>
        <w:tc>
          <w:tcPr>
            <w:shd w:val="clear" w:color="auto" w:fill="F8ECD2"/>
            <w:vAlign w:val="center"/>
          </w:tcPr>
          <w:p>
            <w:r>
              <w:rPr>
                <w:rFonts w:ascii="Cambria" w:hAnsi="Cambria"/>
                <w:b w:val="false"/>
                <w:color w:val="58400C"/>
                <w:sz w:val="24"/>
              </w:rPr>
              <w:t>Proiecte care prevăd investiții în servicii inovatoare pentru teritoriul GAL</w:t>
            </w:r>
          </w:p>
        </w:tc>
        <w:tc>
          <w:tcPr>
            <w:vAlign w:val="center"/>
          </w:tcPr>
          <w:p>
            <w:pPr>
              <w:keepNext/>
              <w:jc w:val="center"/>
            </w:pPr>
            <w:r>
              <w:rPr>
                <w:rFonts w:ascii="Cambria" w:hAnsi="Cambria"/>
                <w:b w:val="false"/>
                <w:sz w:val="24"/>
              </w:rPr>
              <w:t>35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DOCUMENTE  PREZENTATE:</w:t>
            </w:r>
          </w:p>
          <w:p>
            <w:pPr>
              <w:spacing w:line="360" w:lineRule="auto"/>
              <w:ind w:left="0" w:right="0" w:firstLine="493"/>
            </w:pPr>
            <w:r>
              <w:rPr>
                <w:rFonts w:ascii="Cambria" w:hAnsi="Cambria"/>
                <w:b w:val="false"/>
                <w:sz w:val="24"/>
              </w:rPr>
              <w:t>Studiu de Fezabilitate / Documentație de Avizare pentru Lucrări de Intervenții/ Memoriu Justificativ</w:t>
            </w:r>
          </w:p>
          <w:p>
            <w:pPr>
              <w:spacing w:line="360" w:lineRule="auto"/>
              <w:ind w:left="0" w:right="0" w:firstLine="493"/>
            </w:pPr>
            <w:r>
              <w:rPr>
                <w:rFonts w:ascii="Cambria" w:hAnsi="Cambria"/>
                <w:b w:val="false"/>
                <w:sz w:val="24"/>
              </w:rPr>
              <w:t>PUNCTE DE VERIFICAT ÎN CADRUL DOCUMENTELOR  PREZENTATE:</w:t>
            </w:r>
          </w:p>
          <w:p>
            <w:pPr>
              <w:spacing w:line="360" w:lineRule="auto"/>
              <w:ind w:left="0" w:right="0" w:firstLine="493"/>
            </w:pPr>
            <w:r>
              <w:rPr>
                <w:rFonts w:ascii="Cambria" w:hAnsi="Cambria"/>
                <w:b w:val="false"/>
                <w:sz w:val="24"/>
              </w:rPr>
              <w:t>Expertul verifică informațiile conținute în Studiul de fezabilitate/DALI/MJ și în cazul în care identifica în cadrul acțiunilor propuse prin proiect activități cum ar fi servicii noi (digitalizarea aparatului administrativ public și a serviciilor publice, etc) se vor acorda 35 puncte.</w:t>
            </w:r>
          </w:p>
          <w:p>
            <w:pPr>
              <w:spacing w:line="360" w:lineRule="auto"/>
              <w:ind w:left="0" w:right="0" w:firstLine="493"/>
            </w:pPr>
            <w:r>
              <w:rPr>
                <w:rFonts w:ascii="Cambria" w:hAnsi="Cambria"/>
                <w:b w:val="false"/>
                <w:sz w:val="24"/>
              </w:rPr>
              <w:t>În cazul unor investitii multiple, punctajul va fi acordat daca cel puțin una din investiții îndeplinește condițiile.</w:t>
            </w:r>
          </w:p>
          <w:p>
            <w:pPr>
              <w:spacing w:line="360" w:lineRule="auto"/>
              <w:ind w:left="0" w:right="0" w:firstLine="493"/>
            </w:pPr>
            <w:r>
              <w:rPr>
                <w:rFonts w:ascii="Cambria" w:hAnsi="Cambria"/>
                <w:b w:val="false"/>
                <w:sz w:val="24"/>
              </w:rPr>
              <w:t>În cadrul analizei documentelor vor fi luate in considerare:</w:t>
            </w:r>
          </w:p>
          <w:p>
            <w:pPr>
              <w:pStyle w:val="ListParagraph"/>
              <w:numPr>
                <w:ilvl w:val="0"/>
                <w:numId w:val="2"/>
              </w:numPr>
            </w:pPr>
            <w:r>
              <w:rPr>
                <w:rFonts w:ascii="Cambria" w:hAnsi="Cambria"/>
                <w:b w:val="false"/>
                <w:sz w:val="24"/>
              </w:rPr>
              <w:t>Activitățile din cadrul proiectului;</w:t>
            </w:r>
          </w:p>
          <w:p>
            <w:pPr>
              <w:pStyle w:val="ListParagraph"/>
              <w:numPr>
                <w:ilvl w:val="0"/>
                <w:numId w:val="2"/>
              </w:numPr>
            </w:pPr>
            <w:r>
              <w:rPr>
                <w:rFonts w:ascii="Cambria" w:hAnsi="Cambria"/>
                <w:b w:val="false"/>
                <w:sz w:val="24"/>
              </w:rPr>
              <w:t>Obiectivele din cadrul proiectului;</w:t>
            </w:r>
          </w:p>
          <w:p>
            <w:pPr>
              <w:pStyle w:val="ListParagraph"/>
              <w:numPr>
                <w:ilvl w:val="0"/>
                <w:numId w:val="2"/>
              </w:numPr>
            </w:pPr>
            <w:r>
              <w:rPr>
                <w:rFonts w:ascii="Cambria" w:hAnsi="Cambria"/>
                <w:b w:val="false"/>
                <w:sz w:val="24"/>
              </w:rPr>
              <w:t>Utilajele/echipamentele ahiziționate;</w:t>
            </w:r>
          </w:p>
          <w:p>
            <w:pPr>
              <w:pStyle w:val="ListParagraph"/>
              <w:numPr>
                <w:ilvl w:val="0"/>
                <w:numId w:val="2"/>
              </w:numPr>
            </w:pPr>
            <w:r>
              <w:rPr>
                <w:rFonts w:ascii="Cambria" w:hAnsi="Cambria"/>
                <w:b w:val="false"/>
                <w:sz w:val="24"/>
              </w:rPr>
              <w:t>Materialele utilizate;</w:t>
            </w:r>
          </w:p>
          <w:p>
            <w:pPr>
              <w:pStyle w:val="ListParagraph"/>
              <w:numPr>
                <w:ilvl w:val="0"/>
                <w:numId w:val="2"/>
              </w:numPr>
            </w:pPr>
            <w:r>
              <w:rPr>
                <w:rFonts w:ascii="Cambria" w:hAnsi="Cambria"/>
                <w:b w:val="false"/>
                <w:sz w:val="24"/>
              </w:rPr>
              <w:t>Cheltuielile efectuate.</w:t>
            </w:r>
          </w:p>
          <w:p>
            <w:r>
              <w:rPr>
                <w:rFonts w:ascii="Cambria" w:hAnsi="Cambria"/>
                <w:b w:val="false"/>
                <w:sz w:val="24"/>
              </w:rPr>
              <w:t>4TOTAL100 PUNCTE5PRAG DE CALITATE (PUNCTAJ MINIM)10 PUNCTE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Valoarea totală a proiectului (fără TVA) </w:t>
            </w:r>
          </w:p>
        </w:tc>
        <w:tc>
          <w:tcPr>
            <w:vAlign w:val="center"/>
          </w:tcPr>
          <w:p/>
        </w:tc>
        <w:tc>
          <w:tcPr>
            <w:vAlign w:val="center"/>
          </w:tcPr>
          <w:p/>
        </w:tc>
        <w:tc>
          <w:tcPr>
            <w:vAlign w:val="center"/>
          </w:tcPr>
          <w:p/>
        </w:tc>
      </w:tr>
      <w:tr>
        <w:trPr/>
        <w:tc>
          <w:tcPr>
            <w:gridSpan w:val="5"/>
            <w:shd w:val="clear" w:color="auto" w:fill="DDDDDD"/>
            <w:vAlign w:val="center"/>
          </w:tcPr>
          <w:p>
            <w:r>
              <w:rPr>
                <w:rFonts w:ascii="Cambria Bold" w:hAnsi="Cambria Bold"/>
                <w:b/>
                <w:sz w:val="24"/>
              </w:rPr>
              <w:t>Documente obligatorii:</w:t>
            </w:r>
            <w:r>
              <w:rPr>
                <w:rFonts w:ascii="Cambria" w:hAnsi="Cambria"/>
                <w:b w:val="false"/>
                <w:sz w:val="24"/>
              </w:rPr>
              <w:t>Cerere de finantare.</w:t>
            </w:r>
            <w:r>
              <w:rPr>
                <w:rFonts w:ascii="Cambria Bold" w:hAnsi="Cambria Bold"/>
                <w:b/>
                <w:sz w:val="24"/>
              </w:rPr>
              <w:t>Metodologia de verificare:</w:t>
            </w:r>
            <w:r>
              <w:rPr>
                <w:rFonts w:ascii="Cambria" w:hAnsi="Cambria"/>
                <w:b w:val="false"/>
                <w:sz w:val="24"/>
              </w:rPr>
              <w:t>Au prioritate proiectele au valoarea totală, fără TVA, cea mai mare.Departajarea proiectelor cu acelasi punctaj se realizeaza in baza valoriitotale a proiectului, respectiv va avea prioritate proiectul cu o valoaretotala mai mare întrucât acesta creează o valoare adaugată mai mare la nivel teritorial. Valoarea totală a proiectului este formată din valoare eligibilă și valoarea neeligibilă si este mentionata in cererea de finantarea, în sectiunea C.2 Buget indicativ/Plan financiar/Total proiect/Coloana Total.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1ea46e320f194381" /><Relationship Type="http://schemas.openxmlformats.org/officeDocument/2006/relationships/numbering" Target="/word/numbering.xml" Id="Rce984600b283402f" /></Relationships>
</file>